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PROYECTO CIENTÍFICO</w:t>
      </w:r>
    </w:p>
    <w:p w:rsidR="00000000" w:rsidDel="00000000" w:rsidP="00000000" w:rsidRDefault="00000000" w:rsidRPr="00000000" w14:paraId="00000002">
      <w:pPr>
        <w:ind w:left="72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Situación de aprendizaje 1: El laboratorio de Marie Curie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Anton" w:cs="Anton" w:eastAsia="Anton" w:hAnsi="Anton"/>
          <w:b w:val="1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b w:val="1"/>
          <w:sz w:val="24"/>
          <w:szCs w:val="24"/>
          <w:rtl w:val="0"/>
        </w:rPr>
        <w:t xml:space="preserve">Punto de partida </w:t>
      </w:r>
    </w:p>
    <w:p w:rsidR="00000000" w:rsidDel="00000000" w:rsidP="00000000" w:rsidRDefault="00000000" w:rsidRPr="00000000" w14:paraId="00000005">
      <w:pPr>
        <w:ind w:left="720" w:firstLine="0"/>
        <w:rPr>
          <w:rFonts w:ascii="Anton" w:cs="Anton" w:eastAsia="Anton" w:hAnsi="Anto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rFonts w:ascii="Anton" w:cs="Anton" w:eastAsia="Anton" w:hAnsi="Anto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rFonts w:ascii="Anton" w:cs="Anton" w:eastAsia="Anton" w:hAnsi="Anto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rFonts w:ascii="Anton" w:cs="Anton" w:eastAsia="Anton" w:hAnsi="Anto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81013" cy="56466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564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Conéctalo con la realidad del alumno y que parta de sus centros de interés. Debe ser motivador para captar su atención. Se dirige a la solución de problemas o a la elaboración de un producto.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Justificación</w:t>
      </w:r>
    </w:p>
    <w:p w:rsidR="00000000" w:rsidDel="00000000" w:rsidP="00000000" w:rsidRDefault="00000000" w:rsidRPr="00000000" w14:paraId="0000000D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282881</wp:posOffset>
            </wp:positionV>
            <wp:extent cx="481013" cy="564667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5646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  <w:t xml:space="preserve">No olvides que hay que relacionar las competencias clave con los grandes desafíos del siglo XXI a los que, de acuerdo con los Objetivos de Desarrollo Sostenible de la Agenda 2030, se verán confrontados los alumnos y alumnas.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Concreción curricular </w:t>
      </w:r>
    </w:p>
    <w:p w:rsidR="00000000" w:rsidDel="00000000" w:rsidP="00000000" w:rsidRDefault="00000000" w:rsidRPr="00000000" w14:paraId="00000015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36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40"/>
        <w:gridCol w:w="2610"/>
        <w:gridCol w:w="3540"/>
        <w:gridCol w:w="2670"/>
        <w:tblGridChange w:id="0">
          <w:tblGrid>
            <w:gridCol w:w="3540"/>
            <w:gridCol w:w="2610"/>
            <w:gridCol w:w="3540"/>
            <w:gridCol w:w="2670"/>
          </w:tblGrid>
        </w:tblGridChange>
      </w:tblGrid>
      <w:tr>
        <w:trPr>
          <w:cantSplit w:val="0"/>
          <w:trHeight w:val="47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Competencias Específicas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Criterios de Evaluación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Saberes básicos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Descriptores operativos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(Son los que concretan las competencias clave)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 Interpretar y transmitir información y datos científicos, argumentando sobre ellos y utilizando diferentes formatos, para analizar conceptos y procesos de las ciencias biológicas y geológicas.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1.1. Explicar conceptos y procesos biológicos y geológicos interpretando información en diferentes formatos, con el fin de elaborar conclusiones y compartir conocimiento con actitud cooperativa y respetuosa.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1.2. Transmitir información sobre procesos biológicos y geológicos o textos científicos divulgativos sencillos de forma clara y utilizando el vocabulario y los formatos adecuados con el fin de facilitar su comprensión y generar curiosidad e interés por la ciencia.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1.3. Explicar fenómenos biológicos y geológicos representándolos mediante modelos y diagramas utilizando, cuando sea posible, algún paso del diseño de ingeniería y herramientas digitales, para generar de forma colaborativa productos comunicativos en diversos soportes.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 Aproximación a los </w:t>
            </w:r>
            <w:r w:rsidDel="00000000" w:rsidR="00000000" w:rsidRPr="00000000">
              <w:rPr>
                <w:b w:val="1"/>
                <w:rtl w:val="0"/>
              </w:rPr>
              <w:t xml:space="preserve">pasos del método científic</w:t>
            </w:r>
            <w:r w:rsidDel="00000000" w:rsidR="00000000" w:rsidRPr="00000000">
              <w:rPr>
                <w:rtl w:val="0"/>
              </w:rPr>
              <w:t xml:space="preserve">o (hipótesis, preguntas y conjeturas) a través de ejemplos de la vida cotidiana.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b w:val="1"/>
                <w:rtl w:val="0"/>
              </w:rPr>
              <w:t xml:space="preserve">Utilización de estrategias </w:t>
            </w:r>
            <w:r w:rsidDel="00000000" w:rsidR="00000000" w:rsidRPr="00000000">
              <w:rPr>
                <w:rtl w:val="0"/>
              </w:rPr>
              <w:t xml:space="preserve">para la </w:t>
            </w:r>
            <w:r w:rsidDel="00000000" w:rsidR="00000000" w:rsidRPr="00000000">
              <w:rPr>
                <w:b w:val="1"/>
                <w:rtl w:val="0"/>
              </w:rPr>
              <w:t xml:space="preserve">búsqueda</w:t>
            </w:r>
            <w:r w:rsidDel="00000000" w:rsidR="00000000" w:rsidRPr="00000000">
              <w:rPr>
                <w:rtl w:val="0"/>
              </w:rPr>
              <w:t xml:space="preserve"> de información, la </w:t>
            </w:r>
            <w:r w:rsidDel="00000000" w:rsidR="00000000" w:rsidRPr="00000000">
              <w:rPr>
                <w:b w:val="1"/>
                <w:rtl w:val="0"/>
              </w:rPr>
              <w:t xml:space="preserve">colaboración</w:t>
            </w:r>
            <w:r w:rsidDel="00000000" w:rsidR="00000000" w:rsidRPr="00000000">
              <w:rPr>
                <w:rtl w:val="0"/>
              </w:rPr>
              <w:t xml:space="preserve"> y la </w:t>
            </w:r>
            <w:r w:rsidDel="00000000" w:rsidR="00000000" w:rsidRPr="00000000">
              <w:rPr>
                <w:b w:val="1"/>
                <w:rtl w:val="0"/>
              </w:rPr>
              <w:t xml:space="preserve">comunicación</w:t>
            </w:r>
            <w:r w:rsidDel="00000000" w:rsidR="00000000" w:rsidRPr="00000000">
              <w:rPr>
                <w:rtl w:val="0"/>
              </w:rPr>
              <w:t xml:space="preserve"> de procesos, resultados o ideas científicas. 3. Reconocimiento y utilización de </w:t>
            </w:r>
            <w:r w:rsidDel="00000000" w:rsidR="00000000" w:rsidRPr="00000000">
              <w:rPr>
                <w:b w:val="1"/>
                <w:rtl w:val="0"/>
              </w:rPr>
              <w:t xml:space="preserve">fuentes fidedignas de información científica </w:t>
            </w:r>
            <w:r w:rsidDel="00000000" w:rsidR="00000000" w:rsidRPr="00000000">
              <w:rPr>
                <w:rtl w:val="0"/>
              </w:rPr>
              <w:t xml:space="preserve">para evitar los riesgos de desinformación.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Utilización de </w:t>
            </w:r>
            <w:r w:rsidDel="00000000" w:rsidR="00000000" w:rsidRPr="00000000">
              <w:rPr>
                <w:b w:val="1"/>
                <w:rtl w:val="0"/>
              </w:rPr>
              <w:t xml:space="preserve">herramientas digitales y formatos de uso frecuente en ciencia </w:t>
            </w:r>
            <w:r w:rsidDel="00000000" w:rsidR="00000000" w:rsidRPr="00000000">
              <w:rPr>
                <w:rtl w:val="0"/>
              </w:rPr>
              <w:t xml:space="preserve">(presentación, gráfica, vídeo, póster, informe, etc.).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 Uso de los </w:t>
            </w:r>
            <w:r w:rsidDel="00000000" w:rsidR="00000000" w:rsidRPr="00000000">
              <w:rPr>
                <w:b w:val="1"/>
                <w:rtl w:val="0"/>
              </w:rPr>
              <w:t xml:space="preserve">instrumentos y espacios necesarios </w:t>
            </w:r>
            <w:r w:rsidDel="00000000" w:rsidR="00000000" w:rsidRPr="00000000">
              <w:rPr>
                <w:rtl w:val="0"/>
              </w:rPr>
              <w:t xml:space="preserve">(laboratorio, aulas, entorno, huertos, etc.) para dar respuesta a cuestiones científicas mediante la experimentación y el trabajo de campo.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 Empleo del modelado como método práctico de representación y comprensión de procesos o elementos de la naturaleza.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7. Comprensión del</w:t>
            </w:r>
            <w:r w:rsidDel="00000000" w:rsidR="00000000" w:rsidRPr="00000000">
              <w:rPr>
                <w:b w:val="1"/>
                <w:rtl w:val="0"/>
              </w:rPr>
              <w:t xml:space="preserve"> papel de la mujer en la ciencia y la relevancia de las personas que se dedican a ella en Canarias </w:t>
            </w:r>
            <w:r w:rsidDel="00000000" w:rsidR="00000000" w:rsidRPr="00000000">
              <w:rPr>
                <w:rtl w:val="0"/>
              </w:rPr>
              <w:t xml:space="preserve">para apreciar su contribución a la sociedad y fomentar las vocaciones científicas (STEAM)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CCL1, CCL2, STEM4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720" w:firstLine="0"/>
              <w:rPr>
                <w:rFonts w:ascii="Anton" w:cs="Anton" w:eastAsia="Anton" w:hAnsi="Anto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CCL1, CCL2, CCL5, STEM4, CD3, CCEC4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CCL1, STEM4, CD2, CCEC4</w:t>
            </w:r>
          </w:p>
        </w:tc>
      </w:tr>
    </w:tbl>
    <w:p w:rsidR="00000000" w:rsidDel="00000000" w:rsidP="00000000" w:rsidRDefault="00000000" w:rsidRPr="00000000" w14:paraId="0000003C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81013" cy="564667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564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Los contenidos decretados en los saberes básicos se pueden convertir en el eje vertebrador del curso escolar, pero debemos tener en cuenta que estos están al servicio de la </w:t>
      </w:r>
      <w:r w:rsidDel="00000000" w:rsidR="00000000" w:rsidRPr="00000000">
        <w:rPr>
          <w:b w:val="1"/>
          <w:rtl w:val="0"/>
        </w:rPr>
        <w:t xml:space="preserve">adquisición </w:t>
      </w:r>
      <w:r w:rsidDel="00000000" w:rsidR="00000000" w:rsidRPr="00000000">
        <w:rPr>
          <w:rtl w:val="0"/>
        </w:rPr>
        <w:t xml:space="preserve">tanto </w:t>
      </w:r>
      <w:r w:rsidDel="00000000" w:rsidR="00000000" w:rsidRPr="00000000">
        <w:rPr>
          <w:b w:val="1"/>
          <w:rtl w:val="0"/>
        </w:rPr>
        <w:t xml:space="preserve">de las competencias específicas como de las competencias clave.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Anton" w:cs="Anton" w:eastAsia="Anton" w:hAnsi="Anton"/>
          <w:sz w:val="24"/>
          <w:szCs w:val="24"/>
          <w:u w:val="none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Metodología</w:t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81013" cy="564667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564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Debes proponer distintas agrupaciones para las actividades, lo que se va aprendiendo debe</w:t>
      </w:r>
      <w:r w:rsidDel="00000000" w:rsidR="00000000" w:rsidRPr="00000000">
        <w:rPr>
          <w:b w:val="1"/>
          <w:rtl w:val="0"/>
        </w:rPr>
        <w:t xml:space="preserve"> ser transferido</w:t>
      </w:r>
      <w:r w:rsidDel="00000000" w:rsidR="00000000" w:rsidRPr="00000000">
        <w:rPr>
          <w:rtl w:val="0"/>
        </w:rPr>
        <w:t xml:space="preserve"> a la resolución de la situación planteada en el punto de partida. Es decir, no solo deben centrarse en el saber sino también en el </w:t>
      </w:r>
      <w:r w:rsidDel="00000000" w:rsidR="00000000" w:rsidRPr="00000000">
        <w:rPr>
          <w:b w:val="1"/>
          <w:rtl w:val="0"/>
        </w:rPr>
        <w:t xml:space="preserve">saber hacer, saber ser </w:t>
      </w:r>
      <w:r w:rsidDel="00000000" w:rsidR="00000000" w:rsidRPr="00000000">
        <w:rPr>
          <w:rtl w:val="0"/>
        </w:rPr>
        <w:t xml:space="preserve">y el </w:t>
      </w:r>
      <w:r w:rsidDel="00000000" w:rsidR="00000000" w:rsidRPr="00000000">
        <w:rPr>
          <w:b w:val="1"/>
          <w:rtl w:val="0"/>
        </w:rPr>
        <w:t xml:space="preserve">desarrollo de habilidades</w:t>
      </w:r>
      <w:r w:rsidDel="00000000" w:rsidR="00000000" w:rsidRPr="00000000">
        <w:rPr>
          <w:rtl w:val="0"/>
        </w:rPr>
        <w:t xml:space="preserve">. Debes realizar un Diseño Universal del Aprendizaje (</w:t>
      </w:r>
      <w:r w:rsidDel="00000000" w:rsidR="00000000" w:rsidRPr="00000000">
        <w:rPr>
          <w:b w:val="1"/>
          <w:rtl w:val="0"/>
        </w:rPr>
        <w:t xml:space="preserve">DUA</w:t>
      </w:r>
      <w:r w:rsidDel="00000000" w:rsidR="00000000" w:rsidRPr="00000000">
        <w:rPr>
          <w:rtl w:val="0"/>
        </w:rPr>
        <w:t xml:space="preserve">) para poder llegar a todos tus alumnos. 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529013" cy="483151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4831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Secuencia competencial y temporalización</w:t>
      </w:r>
    </w:p>
    <w:p w:rsidR="00000000" w:rsidDel="00000000" w:rsidP="00000000" w:rsidRDefault="00000000" w:rsidRPr="00000000" w14:paraId="00000049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58.2543245086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0"/>
        <w:gridCol w:w="3810"/>
        <w:gridCol w:w="4429.127162254325"/>
        <w:gridCol w:w="4429.127162254325"/>
        <w:tblGridChange w:id="0">
          <w:tblGrid>
            <w:gridCol w:w="1290"/>
            <w:gridCol w:w="3810"/>
            <w:gridCol w:w="4429.127162254325"/>
            <w:gridCol w:w="4429.127162254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Periodo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Secuencia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Espacio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Motivación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Desarrollo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Final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81013" cy="56466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564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Enfoca todas las secuencias, espacios y recursos teniendo en cuenta el Diseño Universal del Aprendizaje.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6.  Evaluación Formativa</w:t>
      </w:r>
    </w:p>
    <w:p w:rsidR="00000000" w:rsidDel="00000000" w:rsidP="00000000" w:rsidRDefault="00000000" w:rsidRPr="00000000" w14:paraId="00000066">
      <w:pPr>
        <w:ind w:left="72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81013" cy="564667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564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Incluye estrategias evaluativas metacognitivas. También puedes concretar los criterios de evaluación en indicadores de logro, asociados a los criterios de evaluación.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319.92246198233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1.024824187053"/>
        <w:gridCol w:w="3701.024824187053"/>
        <w:gridCol w:w="2917.872813608223"/>
        <w:tblGridChange w:id="0">
          <w:tblGrid>
            <w:gridCol w:w="3701.024824187053"/>
            <w:gridCol w:w="3701.024824187053"/>
            <w:gridCol w:w="2917.87281360822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Productos Evaluables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Técnicas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Instrumentos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ind w:left="720" w:firstLine="0"/>
        <w:rPr/>
      </w:pPr>
      <w:hyperlink r:id="rId8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186363" cy="3682262"/>
              <wp:effectExtent b="0" l="0" r="0" t="0"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86363" cy="368226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0"/>
        <w:rPr/>
      </w:pPr>
      <w:hyperlink r:id="rId10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091113" cy="3558184"/>
              <wp:effectExtent b="0" l="0" r="0" t="0"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91113" cy="35581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rPr/>
      </w:pPr>
      <w:hyperlink r:id="rId12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4186238" cy="2004050"/>
              <wp:effectExtent b="0" l="0" r="0" t="0"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86238" cy="20040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7. Actividades complementarias y extraescolares</w:t>
      </w:r>
    </w:p>
    <w:p w:rsidR="00000000" w:rsidDel="00000000" w:rsidP="00000000" w:rsidRDefault="00000000" w:rsidRPr="00000000" w14:paraId="0000007B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nton" w:cs="Anton" w:eastAsia="Anton" w:hAnsi="Anton"/>
          <w:sz w:val="24"/>
          <w:szCs w:val="24"/>
        </w:rPr>
      </w:pPr>
      <w:r w:rsidDel="00000000" w:rsidR="00000000" w:rsidRPr="00000000">
        <w:rPr>
          <w:rFonts w:ascii="Anton" w:cs="Anton" w:eastAsia="Anton" w:hAnsi="Anton"/>
          <w:sz w:val="24"/>
          <w:szCs w:val="24"/>
          <w:rtl w:val="0"/>
        </w:rPr>
        <w:t xml:space="preserve">8. Estrategias de mejora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Recursos:</w:t>
      </w:r>
    </w:p>
    <w:p w:rsidR="00000000" w:rsidDel="00000000" w:rsidP="00000000" w:rsidRDefault="00000000" w:rsidRPr="00000000" w14:paraId="00000085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Banco de situaciones de Aprendizaje del INTEF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Revista Sitúate. Gobierno de Canarias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Kit básico para evaluar y calificar. Gobierno de Canarias.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La evaluación de otra manera. Neus Sanmartí. Grupo Edebé.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Documentos sobre las pautas del Diseño Universal para el Aprendizaje. Educa DUA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8E">
      <w:pPr>
        <w:rPr>
          <w:sz w:val="24"/>
          <w:szCs w:val="24"/>
        </w:rPr>
      </w:pP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Diseño de Tareas Competenciales por especialidad en Secundaria. Raúl Landa y Fausto Álvarez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firstLine="0"/>
        <w:rPr>
          <w:sz w:val="24"/>
          <w:szCs w:val="24"/>
        </w:rPr>
      </w:pP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Situaciones de aprendizaje. Elena Martín y César Coll.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rPr>
          <w:sz w:val="24"/>
          <w:szCs w:val="24"/>
        </w:rPr>
      </w:pP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Hacia un nuevo currículo:Programar, Educar, Evaluar. Centro Riojano de Innovación Educativa.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Coll Salvador, C., &amp; Martín Ortega, E. (2021). La LOMLOE, una oportunidad para la modernización curricular. </w:t>
      </w:r>
      <w:r w:rsidDel="00000000" w:rsidR="00000000" w:rsidRPr="00000000">
        <w:rPr>
          <w:rFonts w:ascii="Verdana" w:cs="Verdana" w:eastAsia="Verdana" w:hAnsi="Verdana"/>
          <w:i w:val="1"/>
          <w:sz w:val="21"/>
          <w:szCs w:val="21"/>
          <w:rtl w:val="0"/>
        </w:rPr>
        <w:t xml:space="preserve">Avances En Supervisión Educativa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, (35). https://doi.org/10.23824/ase.v0i35.731</w:t>
      </w:r>
    </w:p>
    <w:p w:rsidR="00000000" w:rsidDel="00000000" w:rsidP="00000000" w:rsidRDefault="00000000" w:rsidRPr="00000000" w14:paraId="00000095">
      <w:pPr>
        <w:shd w:fill="ffffff" w:val="clear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Anton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hrivu.grupo-sm.com/s/proyecto-educativo/a3D2o000001qWhlEAE/situaciones-de-aprendizaje-y-competencias?language=es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www3.gobiernodecanarias.org/medusa/ecoescuela/proideac/files/2018/04/brujula_20_evaluacion.pdf" TargetMode="External"/><Relationship Id="rId21" Type="http://schemas.openxmlformats.org/officeDocument/2006/relationships/hyperlink" Target="https://sites.google.com/educarioja.org/curriculoeducarioja/inicio?authuser=0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3.gobiernodecanarias.org/medusa/ecoescuela/proideac/files/2018/04/brujula_20_evaluacion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www3.gobiernodecanarias.org/medusa/ecoescuela/sa/que-es-situate/" TargetMode="External"/><Relationship Id="rId14" Type="http://schemas.openxmlformats.org/officeDocument/2006/relationships/hyperlink" Target="http://auladelfuturo.intef.es/recursos/" TargetMode="External"/><Relationship Id="rId17" Type="http://schemas.openxmlformats.org/officeDocument/2006/relationships/hyperlink" Target="https://youtu.be/oWKUausjhHQ" TargetMode="External"/><Relationship Id="rId16" Type="http://schemas.openxmlformats.org/officeDocument/2006/relationships/hyperlink" Target="https://www.gobiernodecanarias.org/educacion/web/servicios/recursos-pedagogicos/kit_evaluar_calificar/" TargetMode="External"/><Relationship Id="rId5" Type="http://schemas.openxmlformats.org/officeDocument/2006/relationships/styles" Target="styles.xml"/><Relationship Id="rId19" Type="http://schemas.openxmlformats.org/officeDocument/2006/relationships/hyperlink" Target="https://colaboraeducacion30.juntadeandalucia.es/educacion/colabora/documents/23746772/23753072/Curso+s-Dise%C3%B1o+de+Tareas+Competenciales/fe3e1ff6-a2d2-fe1b-eac0-14bab762ca46?download=true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www.educadua.es/html/dua/pautasDUA/dua_pautas.html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3.gobiernodecanarias.org/medusa/ecoescuela/proideac/files/2018/04/brujula_20_evaluacion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to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