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5E71" w:rsidRDefault="00FC5E71">
      <w:pPr>
        <w:rPr>
          <w:sz w:val="2"/>
          <w:szCs w:val="2"/>
        </w:rPr>
      </w:pPr>
    </w:p>
    <w:tbl>
      <w:tblPr>
        <w:tblStyle w:val="a"/>
        <w:tblW w:w="16514" w:type="dxa"/>
        <w:tblInd w:w="-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9"/>
        <w:gridCol w:w="2067"/>
        <w:gridCol w:w="1231"/>
        <w:gridCol w:w="705"/>
        <w:gridCol w:w="990"/>
        <w:gridCol w:w="870"/>
        <w:gridCol w:w="2583"/>
        <w:gridCol w:w="1284"/>
        <w:gridCol w:w="103"/>
        <w:gridCol w:w="1560"/>
        <w:gridCol w:w="765"/>
        <w:gridCol w:w="1934"/>
        <w:gridCol w:w="1993"/>
      </w:tblGrid>
      <w:tr w:rsidR="00FC5E71">
        <w:trPr>
          <w:trHeight w:val="290"/>
        </w:trPr>
        <w:tc>
          <w:tcPr>
            <w:tcW w:w="2494" w:type="dxa"/>
            <w:gridSpan w:val="2"/>
            <w:shd w:val="clear" w:color="auto" w:fill="FFC000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000000">
            <w:pPr>
              <w:widowControl w:val="0"/>
              <w:ind w:right="-350"/>
              <w:rPr>
                <w:i/>
                <w:color w:val="000080"/>
                <w:sz w:val="20"/>
                <w:szCs w:val="20"/>
                <w:u w:val="single"/>
              </w:rPr>
            </w:pPr>
            <w:r>
              <w:rPr>
                <w:sz w:val="22"/>
                <w:szCs w:val="22"/>
              </w:rPr>
              <w:t xml:space="preserve">Área </w:t>
            </w:r>
            <w:r w:rsidR="003D1AD5">
              <w:rPr>
                <w:sz w:val="22"/>
                <w:szCs w:val="22"/>
              </w:rPr>
              <w:t>/</w:t>
            </w:r>
          </w:p>
        </w:tc>
        <w:tc>
          <w:tcPr>
            <w:tcW w:w="123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50"/>
            </w:pPr>
            <w:sdt>
              <w:sdtPr>
                <w:alias w:val="Áreas curriculares"/>
                <w:id w:val="-616955626"/>
                <w:dropDownList>
                  <w:listItem w:displayText="Lg" w:value="Lg"/>
                  <w:listItem w:displayText="Mat" w:value="Mat"/>
                  <w:listItem w:displayText="CMNSC" w:value="CMNSC"/>
                  <w:listItem w:displayText="Ingl" w:value="Ingl"/>
                  <w:listItem w:displayText="Proy." w:value="Proy."/>
                  <w:listItem w:displayText="EF" w:value="EF"/>
                  <w:listItem w:displayText="Plast" w:value="Plast"/>
                  <w:listItem w:displayText="Mús" w:value="Mús"/>
                  <w:listItem w:displayText="Rel" w:value="Rel"/>
                  <w:listItem w:displayText="Val" w:value="Val"/>
                </w:dropDownList>
              </w:sdtPr>
              <w:sdtContent>
                <w:r>
                  <w:rPr>
                    <w:color w:val="0A53A8"/>
                    <w:sz w:val="18"/>
                    <w:szCs w:val="18"/>
                    <w:shd w:val="clear" w:color="auto" w:fill="BFE1F6"/>
                  </w:rPr>
                  <w:t>Mat</w:t>
                </w:r>
              </w:sdtContent>
            </w:sdt>
          </w:p>
        </w:tc>
        <w:tc>
          <w:tcPr>
            <w:tcW w:w="705" w:type="dxa"/>
            <w:shd w:val="clear" w:color="auto" w:fill="FFC000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Nivel</w:t>
            </w:r>
          </w:p>
        </w:tc>
        <w:tc>
          <w:tcPr>
            <w:tcW w:w="99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FC5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FFC000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Título</w:t>
            </w:r>
          </w:p>
        </w:tc>
        <w:tc>
          <w:tcPr>
            <w:tcW w:w="3867" w:type="dxa"/>
            <w:gridSpan w:val="2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FC5E71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shd w:val="clear" w:color="auto" w:fill="FFC000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000000">
            <w:pPr>
              <w:widowControl w:val="0"/>
            </w:pPr>
            <w:proofErr w:type="spellStart"/>
            <w:r>
              <w:t>Nº</w:t>
            </w:r>
            <w:proofErr w:type="spellEnd"/>
            <w:r>
              <w:t xml:space="preserve"> sesiones</w:t>
            </w:r>
          </w:p>
        </w:tc>
        <w:tc>
          <w:tcPr>
            <w:tcW w:w="76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FC5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34" w:type="dxa"/>
            <w:shd w:val="clear" w:color="auto" w:fill="FFC000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Temporalización</w:t>
            </w:r>
          </w:p>
        </w:tc>
        <w:tc>
          <w:tcPr>
            <w:tcW w:w="1993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sdt>
              <w:sdtPr>
                <w:alias w:val="Temporalización"/>
                <w:id w:val="1026266743"/>
                <w:dropDownList>
                  <w:listItem w:displayText="Sept - 1º Trim." w:value="Sept - 1º Trim."/>
                  <w:listItem w:displayText="Oct - 1º Trim." w:value="Oct - 1º Trim."/>
                  <w:listItem w:displayText="Nov - 1º Trim." w:value="Nov - 1º Trim."/>
                  <w:listItem w:displayText="Dic - 1º Trim." w:value="Dic - 1º Trim."/>
                  <w:listItem w:displayText="Ene - 2º Trim." w:value="Ene - 2º Trim."/>
                  <w:listItem w:displayText="Feb - 2º Trim." w:value="Feb - 2º Trim."/>
                  <w:listItem w:displayText="Mar - 2º Trim." w:value="Mar - 2º Trim."/>
                  <w:listItem w:displayText="Abr - 2º Trim." w:value="Abr - 2º Trim."/>
                  <w:listItem w:displayText="Abr - 3º Trim." w:value="Abr - 3º Trim."/>
                  <w:listItem w:displayText="May - 3º Trim." w:value="May - 3º Trim."/>
                  <w:listItem w:displayText="Jun - 3º Trim." w:value="Jun - 3º Trim."/>
                </w:dropDownList>
              </w:sdtPr>
              <w:sdtContent>
                <w:r>
                  <w:rPr>
                    <w:color w:val="050505"/>
                    <w:sz w:val="20"/>
                    <w:szCs w:val="20"/>
                    <w:shd w:val="clear" w:color="auto" w:fill="B2FBA1"/>
                  </w:rPr>
                  <w:t>May - 3º Trim.</w:t>
                </w:r>
              </w:sdtContent>
            </w:sdt>
          </w:p>
        </w:tc>
      </w:tr>
      <w:tr w:rsidR="00FC5E71">
        <w:trPr>
          <w:trHeight w:val="273"/>
        </w:trPr>
        <w:tc>
          <w:tcPr>
            <w:tcW w:w="428" w:type="dxa"/>
            <w:vMerge w:val="restart"/>
            <w:shd w:val="clear" w:color="auto" w:fill="F4CCCC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FC5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FC5E71" w:rsidRPr="003D1A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3D1AD5">
              <w:rPr>
                <w:lang w:val="en-US"/>
              </w:rPr>
              <w:t>A</w:t>
            </w:r>
          </w:p>
          <w:p w:rsidR="00FC5E71" w:rsidRPr="003D1A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3D1AD5">
              <w:rPr>
                <w:lang w:val="en-US"/>
              </w:rPr>
              <w:t>N</w:t>
            </w:r>
          </w:p>
          <w:p w:rsidR="00FC5E71" w:rsidRPr="003D1A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3D1AD5">
              <w:rPr>
                <w:lang w:val="en-US"/>
              </w:rPr>
              <w:t>Á</w:t>
            </w:r>
          </w:p>
          <w:p w:rsidR="00FC5E71" w:rsidRPr="003D1A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3D1AD5">
              <w:rPr>
                <w:lang w:val="en-US"/>
              </w:rPr>
              <w:t>L</w:t>
            </w:r>
          </w:p>
          <w:p w:rsidR="00FC5E71" w:rsidRPr="003D1A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3D1AD5">
              <w:rPr>
                <w:lang w:val="en-US"/>
              </w:rPr>
              <w:t>I</w:t>
            </w:r>
          </w:p>
          <w:p w:rsidR="00FC5E71" w:rsidRPr="003D1A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3D1AD5">
              <w:rPr>
                <w:lang w:val="en-US"/>
              </w:rPr>
              <w:t>S</w:t>
            </w:r>
          </w:p>
          <w:p w:rsidR="00FC5E71" w:rsidRPr="003D1A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3D1AD5">
              <w:rPr>
                <w:lang w:val="en-US"/>
              </w:rPr>
              <w:t>I</w:t>
            </w:r>
          </w:p>
          <w:p w:rsidR="00FC5E71" w:rsidRPr="003D1A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3D1AD5">
              <w:rPr>
                <w:lang w:val="en-US"/>
              </w:rPr>
              <w:t>S</w:t>
            </w:r>
          </w:p>
          <w:p w:rsidR="00FC5E71" w:rsidRPr="003D1AD5" w:rsidRDefault="00FC5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  <w:p w:rsidR="00FC5E71" w:rsidRPr="003D1AD5" w:rsidRDefault="00FC5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  <w:p w:rsidR="00FC5E71" w:rsidRPr="003D1A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3D1AD5">
              <w:rPr>
                <w:lang w:val="en-US"/>
              </w:rPr>
              <w:t>Y</w:t>
            </w:r>
          </w:p>
          <w:p w:rsidR="00FC5E71" w:rsidRPr="003D1AD5" w:rsidRDefault="00FC5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  <w:p w:rsidR="00FC5E71" w:rsidRPr="003D1AD5" w:rsidRDefault="00FC5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  <w:p w:rsidR="00FC5E71" w:rsidRPr="003D1A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3D1AD5">
              <w:rPr>
                <w:lang w:val="en-US"/>
              </w:rPr>
              <w:t>R</w:t>
            </w:r>
          </w:p>
          <w:p w:rsidR="00FC5E71" w:rsidRPr="003D1A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3D1AD5">
              <w:rPr>
                <w:lang w:val="en-US"/>
              </w:rPr>
              <w:t>E</w:t>
            </w:r>
          </w:p>
          <w:p w:rsidR="00FC5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F</w:t>
            </w:r>
          </w:p>
          <w:p w:rsidR="00FC5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L</w:t>
            </w:r>
          </w:p>
          <w:p w:rsidR="00FC5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E</w:t>
            </w:r>
          </w:p>
          <w:p w:rsidR="00FC5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X</w:t>
            </w:r>
          </w:p>
          <w:p w:rsidR="00FC5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I</w:t>
            </w:r>
          </w:p>
          <w:p w:rsidR="00FC5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proofErr w:type="spellStart"/>
            <w:r>
              <w:t>Ó</w:t>
            </w:r>
            <w:proofErr w:type="spellEnd"/>
          </w:p>
          <w:p w:rsidR="00FC5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N</w:t>
            </w:r>
          </w:p>
        </w:tc>
        <w:tc>
          <w:tcPr>
            <w:tcW w:w="9728" w:type="dxa"/>
            <w:gridSpan w:val="7"/>
            <w:shd w:val="clear" w:color="auto" w:fill="FFFB8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000000">
            <w:pPr>
              <w:widowControl w:val="0"/>
              <w:jc w:val="center"/>
              <w:rPr>
                <w:b/>
                <w:i/>
                <w:color w:val="CC0000"/>
                <w:sz w:val="22"/>
                <w:szCs w:val="22"/>
              </w:rPr>
            </w:pPr>
            <w:r>
              <w:rPr>
                <w:sz w:val="22"/>
                <w:szCs w:val="22"/>
              </w:rPr>
              <w:t>Situación de aprend</w:t>
            </w:r>
            <w:r w:rsidR="003D1AD5">
              <w:rPr>
                <w:sz w:val="22"/>
                <w:szCs w:val="22"/>
              </w:rPr>
              <w:t xml:space="preserve">izaje </w:t>
            </w:r>
            <w:r>
              <w:rPr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SA</w:t>
            </w:r>
            <w:r>
              <w:rPr>
                <w:sz w:val="22"/>
                <w:szCs w:val="22"/>
              </w:rPr>
              <w:t xml:space="preserve">) para tratar los saberes básicos y atendiendo a los </w:t>
            </w:r>
            <w:proofErr w:type="spellStart"/>
            <w:r>
              <w:rPr>
                <w:sz w:val="22"/>
                <w:szCs w:val="22"/>
              </w:rPr>
              <w:t>Crit.Ev</w:t>
            </w:r>
            <w:proofErr w:type="spellEnd"/>
            <w:r>
              <w:rPr>
                <w:sz w:val="22"/>
                <w:szCs w:val="22"/>
              </w:rPr>
              <w:t xml:space="preserve"> + </w:t>
            </w:r>
            <w:proofErr w:type="spellStart"/>
            <w:r>
              <w:rPr>
                <w:sz w:val="22"/>
                <w:szCs w:val="22"/>
              </w:rPr>
              <w:t>Comp</w:t>
            </w:r>
            <w:proofErr w:type="spellEnd"/>
            <w:r>
              <w:rPr>
                <w:sz w:val="22"/>
                <w:szCs w:val="22"/>
              </w:rPr>
              <w:t xml:space="preserve"> Esp. </w:t>
            </w:r>
            <w:hyperlink r:id="rId7">
              <w:r>
                <w:rPr>
                  <w:b/>
                  <w:i/>
                  <w:color w:val="CC0000"/>
                  <w:sz w:val="22"/>
                  <w:szCs w:val="22"/>
                  <w:u w:val="single"/>
                </w:rPr>
                <w:t>VÍDEO</w:t>
              </w:r>
            </w:hyperlink>
          </w:p>
        </w:tc>
        <w:tc>
          <w:tcPr>
            <w:tcW w:w="6355" w:type="dxa"/>
            <w:gridSpan w:val="5"/>
            <w:shd w:val="clear" w:color="auto" w:fill="8FE9FC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 w:rsidRPr="003D1AD5">
              <w:rPr>
                <w:sz w:val="21"/>
                <w:szCs w:val="21"/>
              </w:rPr>
              <w:t>Saberes bás</w:t>
            </w:r>
            <w:r w:rsidR="003D1AD5" w:rsidRPr="003D1AD5">
              <w:rPr>
                <w:sz w:val="21"/>
                <w:szCs w:val="21"/>
              </w:rPr>
              <w:t>icos</w:t>
            </w:r>
            <w:r w:rsidRPr="003D1AD5">
              <w:rPr>
                <w:sz w:val="21"/>
                <w:szCs w:val="21"/>
              </w:rPr>
              <w:t xml:space="preserve"> (bloque/</w:t>
            </w:r>
            <w:proofErr w:type="spellStart"/>
            <w:r w:rsidRPr="003D1AD5">
              <w:rPr>
                <w:sz w:val="21"/>
                <w:szCs w:val="21"/>
              </w:rPr>
              <w:t>subbloque</w:t>
            </w:r>
            <w:proofErr w:type="spellEnd"/>
            <w:r w:rsidRPr="003D1AD5">
              <w:rPr>
                <w:sz w:val="21"/>
                <w:szCs w:val="21"/>
              </w:rPr>
              <w:t xml:space="preserve">, ciclo y saber concreto) </w:t>
            </w:r>
          </w:p>
        </w:tc>
      </w:tr>
      <w:tr w:rsidR="00FC5E71">
        <w:trPr>
          <w:trHeight w:val="1070"/>
        </w:trPr>
        <w:tc>
          <w:tcPr>
            <w:tcW w:w="428" w:type="dxa"/>
            <w:vMerge/>
            <w:shd w:val="clear" w:color="auto" w:fill="F4CCCC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FC5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66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728" w:type="dxa"/>
            <w:gridSpan w:val="7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t>Son situaciones y actividades donde el alumnado despliega todas sus Competencias Claves y Competencias Específicas para su adquisición.</w:t>
            </w:r>
          </w:p>
          <w:p w:rsidR="00FC5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t>Las mismas deben tener conexión con acciones cotidianas, de investigación y realidades propias en relación con los saberes básicos que tenemos presentes o hemos seleccionado y deseamos trabajar.</w:t>
            </w:r>
          </w:p>
        </w:tc>
        <w:tc>
          <w:tcPr>
            <w:tcW w:w="6355" w:type="dxa"/>
            <w:gridSpan w:val="5"/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000000">
            <w:pPr>
              <w:widowControl w:val="0"/>
              <w:jc w:val="both"/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t>Son los conocimientos, destrezas y actitudes que constituyen los contenidos de cada área y cuyo aprendizaje es necesario dominar para alcanzar las Competencias Específicas. Su formulación es integral.</w:t>
            </w:r>
          </w:p>
          <w:p w:rsidR="00FC5E71" w:rsidRDefault="00000000">
            <w:pPr>
              <w:widowControl w:val="0"/>
              <w:jc w:val="both"/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t>En Extremadura quedan recogidos en bloques/</w:t>
            </w:r>
            <w:proofErr w:type="spellStart"/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t>subbloques</w:t>
            </w:r>
            <w:proofErr w:type="spellEnd"/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t>, ciclo y saber.</w:t>
            </w:r>
          </w:p>
        </w:tc>
      </w:tr>
      <w:tr w:rsidR="00FC5E71">
        <w:trPr>
          <w:trHeight w:val="357"/>
        </w:trPr>
        <w:tc>
          <w:tcPr>
            <w:tcW w:w="428" w:type="dxa"/>
            <w:vMerge/>
            <w:shd w:val="clear" w:color="auto" w:fill="F4CCCC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FC5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296" w:type="dxa"/>
            <w:gridSpan w:val="2"/>
            <w:shd w:val="clear" w:color="auto" w:fill="8FE9FC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Objetivos de etapa y didácticos</w:t>
            </w:r>
          </w:p>
        </w:tc>
        <w:tc>
          <w:tcPr>
            <w:tcW w:w="8860" w:type="dxa"/>
            <w:gridSpan w:val="8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FC5E71" w:rsidRDefault="00000000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t xml:space="preserve">OE: Son 14 en Primaria, identificados del (a) al (n). OD: son los propios de la Situación de </w:t>
            </w:r>
            <w:proofErr w:type="spellStart"/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t>Apr</w:t>
            </w:r>
            <w:proofErr w:type="spellEnd"/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t>. diseñada.</w:t>
            </w:r>
          </w:p>
        </w:tc>
        <w:tc>
          <w:tcPr>
            <w:tcW w:w="1934" w:type="dxa"/>
            <w:shd w:val="clear" w:color="auto" w:fill="8FE9FC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FC5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Conexión entre CE</w:t>
            </w:r>
          </w:p>
        </w:tc>
        <w:tc>
          <w:tcPr>
            <w:tcW w:w="1993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FC5E71" w:rsidRDefault="00000000">
            <w:pPr>
              <w:widowControl w:val="0"/>
              <w:jc w:val="both"/>
            </w:pPr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t>Entre distintas CE</w:t>
            </w:r>
          </w:p>
        </w:tc>
      </w:tr>
      <w:tr w:rsidR="00FC5E71">
        <w:trPr>
          <w:trHeight w:val="326"/>
        </w:trPr>
        <w:tc>
          <w:tcPr>
            <w:tcW w:w="428" w:type="dxa"/>
            <w:vMerge/>
            <w:shd w:val="clear" w:color="auto" w:fill="F4CCCC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FC5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4991" w:type="dxa"/>
            <w:gridSpan w:val="4"/>
            <w:shd w:val="clear" w:color="auto" w:fill="8FE9FC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Competencias Claves (CC. Son 8)</w:t>
            </w:r>
          </w:p>
        </w:tc>
        <w:tc>
          <w:tcPr>
            <w:tcW w:w="3453" w:type="dxa"/>
            <w:gridSpan w:val="2"/>
            <w:shd w:val="clear" w:color="auto" w:fill="8FE9FC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Descript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oper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r>
              <w:rPr>
                <w:i/>
                <w:sz w:val="20"/>
                <w:szCs w:val="20"/>
              </w:rPr>
              <w:t>grado de desarrollo CC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712" w:type="dxa"/>
            <w:gridSpan w:val="4"/>
            <w:shd w:val="clear" w:color="auto" w:fill="8FE9FC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Comp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(relación </w:t>
            </w:r>
            <w:proofErr w:type="spellStart"/>
            <w:r>
              <w:rPr>
                <w:i/>
                <w:sz w:val="22"/>
                <w:szCs w:val="22"/>
              </w:rPr>
              <w:t>CC+Sab+Crit.E</w:t>
            </w:r>
            <w:proofErr w:type="spellEnd"/>
            <w:r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927" w:type="dxa"/>
            <w:gridSpan w:val="2"/>
            <w:shd w:val="clear" w:color="auto" w:fill="A4C2F4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Fonts w:ascii="Cardo" w:eastAsia="Cardo" w:hAnsi="Cardo" w:cs="Cardo"/>
                <w:sz w:val="22"/>
                <w:szCs w:val="22"/>
              </w:rPr>
              <w:t>Crit</w:t>
            </w:r>
            <w:proofErr w:type="spellEnd"/>
            <w:r>
              <w:rPr>
                <w:rFonts w:ascii="Cardo" w:eastAsia="Cardo" w:hAnsi="Cardo" w:cs="Cardo"/>
                <w:sz w:val="22"/>
                <w:szCs w:val="22"/>
              </w:rPr>
              <w:t xml:space="preserve">. de </w:t>
            </w:r>
            <w:proofErr w:type="spellStart"/>
            <w:r>
              <w:rPr>
                <w:rFonts w:ascii="Cardo" w:eastAsia="Cardo" w:hAnsi="Cardo" w:cs="Cardo"/>
                <w:sz w:val="22"/>
                <w:szCs w:val="22"/>
              </w:rPr>
              <w:t>Ev</w:t>
            </w:r>
            <w:proofErr w:type="spellEnd"/>
            <w:r>
              <w:rPr>
                <w:rFonts w:ascii="Cardo" w:eastAsia="Cardo" w:hAnsi="Cardo" w:cs="Cardo"/>
                <w:sz w:val="22"/>
                <w:szCs w:val="22"/>
              </w:rPr>
              <w:t>. → Indicad. de logro (</w:t>
            </w:r>
            <w:r>
              <w:rPr>
                <w:i/>
                <w:sz w:val="22"/>
                <w:szCs w:val="22"/>
              </w:rPr>
              <w:t>propios</w:t>
            </w:r>
            <w:r>
              <w:rPr>
                <w:sz w:val="22"/>
                <w:szCs w:val="22"/>
              </w:rPr>
              <w:t>)</w:t>
            </w:r>
          </w:p>
        </w:tc>
      </w:tr>
      <w:tr w:rsidR="00FC5E71">
        <w:trPr>
          <w:trHeight w:val="1389"/>
        </w:trPr>
        <w:tc>
          <w:tcPr>
            <w:tcW w:w="428" w:type="dxa"/>
            <w:vMerge/>
            <w:shd w:val="clear" w:color="auto" w:fill="F4CCCC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FC5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96" w:type="dxa"/>
            <w:gridSpan w:val="2"/>
            <w:tcBorders>
              <w:righ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000000">
            <w:pPr>
              <w:widowControl w:val="0"/>
              <w:numPr>
                <w:ilvl w:val="0"/>
                <w:numId w:val="3"/>
              </w:numPr>
              <w:ind w:left="283" w:right="17" w:hanging="28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trike/>
                <w:sz w:val="16"/>
                <w:szCs w:val="16"/>
              </w:rPr>
              <w:t>Comunicación lingüística (CCL)</w:t>
            </w:r>
          </w:p>
          <w:p w:rsidR="00FC5E71" w:rsidRDefault="00000000">
            <w:pPr>
              <w:widowControl w:val="0"/>
              <w:numPr>
                <w:ilvl w:val="0"/>
                <w:numId w:val="3"/>
              </w:numPr>
              <w:ind w:left="283" w:right="17" w:hanging="28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trike/>
                <w:sz w:val="16"/>
                <w:szCs w:val="16"/>
              </w:rPr>
              <w:t>Plurilingüe (CP)</w:t>
            </w:r>
          </w:p>
          <w:p w:rsidR="00FC5E71" w:rsidRDefault="00000000">
            <w:pPr>
              <w:widowControl w:val="0"/>
              <w:numPr>
                <w:ilvl w:val="0"/>
                <w:numId w:val="3"/>
              </w:numPr>
              <w:ind w:left="283" w:right="17" w:hanging="28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Mat, Ciencia, Tecnología e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Ingen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 (STEM)</w:t>
            </w:r>
          </w:p>
          <w:p w:rsidR="00FC5E71" w:rsidRDefault="00000000">
            <w:pPr>
              <w:widowControl w:val="0"/>
              <w:numPr>
                <w:ilvl w:val="0"/>
                <w:numId w:val="3"/>
              </w:numPr>
              <w:ind w:left="283" w:right="17" w:hanging="28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Personal, social y de aprender a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apr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(CPSAA)</w:t>
            </w:r>
          </w:p>
          <w:p w:rsidR="00FC5E71" w:rsidRDefault="00000000">
            <w:pPr>
              <w:widowControl w:val="0"/>
              <w:numPr>
                <w:ilvl w:val="0"/>
                <w:numId w:val="3"/>
              </w:numPr>
              <w:ind w:left="283" w:right="17" w:hanging="28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Conciencia y Expresión Cultural. (CCEC)</w:t>
            </w:r>
          </w:p>
        </w:tc>
        <w:tc>
          <w:tcPr>
            <w:tcW w:w="1695" w:type="dxa"/>
            <w:gridSpan w:val="2"/>
            <w:tcBorders>
              <w:lef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000000">
            <w:pPr>
              <w:widowControl w:val="0"/>
              <w:numPr>
                <w:ilvl w:val="0"/>
                <w:numId w:val="3"/>
              </w:numPr>
              <w:ind w:left="283" w:right="17" w:hanging="28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Emprendedora (CE)</w:t>
            </w:r>
          </w:p>
          <w:p w:rsidR="00FC5E71" w:rsidRDefault="00000000">
            <w:pPr>
              <w:widowControl w:val="0"/>
              <w:numPr>
                <w:ilvl w:val="0"/>
                <w:numId w:val="3"/>
              </w:numPr>
              <w:ind w:left="283" w:right="17" w:hanging="28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Digital (CD)</w:t>
            </w:r>
          </w:p>
          <w:p w:rsidR="00FC5E71" w:rsidRDefault="00000000">
            <w:pPr>
              <w:widowControl w:val="0"/>
              <w:numPr>
                <w:ilvl w:val="0"/>
                <w:numId w:val="3"/>
              </w:numPr>
              <w:ind w:left="283" w:right="17" w:hanging="28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Ciudadana (CC)</w:t>
            </w:r>
          </w:p>
          <w:p w:rsidR="00FC5E71" w:rsidRDefault="00FC5E71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53" w:type="dxa"/>
            <w:gridSpan w:val="2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00000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t>Concretan el progreso de cada CC. Marcan el grado de desarrollo de las CC. Son secuenciales y progresivos hasta alcanzar el Perfil de Salida.</w:t>
            </w:r>
          </w:p>
        </w:tc>
        <w:tc>
          <w:tcPr>
            <w:tcW w:w="3712" w:type="dxa"/>
            <w:gridSpan w:val="4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000000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t xml:space="preserve">Las Competencias Específicas son desempeños a desplegar en las Situaciones de </w:t>
            </w:r>
            <w:proofErr w:type="spellStart"/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t>Aprendzj</w:t>
            </w:r>
            <w:proofErr w:type="spellEnd"/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t>. o actividades donde se requiere de los Saberes básicos.</w:t>
            </w:r>
          </w:p>
          <w:p w:rsidR="00FC5E71" w:rsidRDefault="00000000">
            <w:pPr>
              <w:widowControl w:val="0"/>
              <w:jc w:val="both"/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t>Estructura: qué (Infinitivo) + cómo (gerundio) + para qué (</w:t>
            </w:r>
            <w:proofErr w:type="spellStart"/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t>para+infinitivo</w:t>
            </w:r>
            <w:proofErr w:type="spellEnd"/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t>)</w:t>
            </w:r>
          </w:p>
        </w:tc>
        <w:tc>
          <w:tcPr>
            <w:tcW w:w="3927" w:type="dxa"/>
            <w:gridSpan w:val="2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000000">
            <w:pPr>
              <w:widowControl w:val="0"/>
              <w:jc w:val="both"/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t xml:space="preserve">Referentes del nivel de desempeño del alumnado en las Situaciones de Aprendizaje de las Comp. </w:t>
            </w:r>
            <w:proofErr w:type="spellStart"/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t>Especf</w:t>
            </w:r>
            <w:proofErr w:type="spellEnd"/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t xml:space="preserve"> en un momento determinado. </w:t>
            </w:r>
          </w:p>
          <w:p w:rsidR="00FC5E71" w:rsidRDefault="00000000">
            <w:pPr>
              <w:widowControl w:val="0"/>
              <w:jc w:val="both"/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t xml:space="preserve">Esos </w:t>
            </w:r>
            <w:proofErr w:type="spellStart"/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t>Crit.Ev</w:t>
            </w:r>
            <w:proofErr w:type="spellEnd"/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t>. los deberemos concretar y hacerlos propios a través de Indicad. de logro, siendo redactados por nosotros mismos.</w:t>
            </w:r>
          </w:p>
        </w:tc>
      </w:tr>
      <w:tr w:rsidR="00FC5E71">
        <w:trPr>
          <w:trHeight w:val="300"/>
        </w:trPr>
        <w:tc>
          <w:tcPr>
            <w:tcW w:w="428" w:type="dxa"/>
            <w:vMerge/>
            <w:shd w:val="clear" w:color="auto" w:fill="F4CCCC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FC5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5861" w:type="dxa"/>
            <w:gridSpan w:val="5"/>
            <w:shd w:val="clear" w:color="auto" w:fill="FFE599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Tareas asociadas a las </w:t>
            </w:r>
            <w:r>
              <w:rPr>
                <w:i/>
                <w:sz w:val="22"/>
                <w:szCs w:val="22"/>
              </w:rPr>
              <w:t>SA</w:t>
            </w:r>
            <w:r>
              <w:rPr>
                <w:sz w:val="22"/>
                <w:szCs w:val="22"/>
              </w:rPr>
              <w:t>: fases, cometidos, productos... (</w:t>
            </w:r>
            <w:hyperlink r:id="rId8">
              <w:r>
                <w:rPr>
                  <w:color w:val="1155CC"/>
                  <w:sz w:val="22"/>
                  <w:szCs w:val="22"/>
                  <w:u w:val="single"/>
                </w:rPr>
                <w:t>enla</w:t>
              </w:r>
              <w:r>
                <w:rPr>
                  <w:color w:val="1155CC"/>
                  <w:sz w:val="22"/>
                  <w:szCs w:val="22"/>
                  <w:u w:val="single"/>
                </w:rPr>
                <w:t>c</w:t>
              </w:r>
              <w:r>
                <w:rPr>
                  <w:color w:val="1155CC"/>
                  <w:sz w:val="22"/>
                  <w:szCs w:val="22"/>
                  <w:u w:val="single"/>
                </w:rPr>
                <w:t>e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3970" w:type="dxa"/>
            <w:gridSpan w:val="3"/>
            <w:shd w:val="clear" w:color="auto" w:fill="A2F55D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Diseño metodológico (contexto e </w:t>
            </w:r>
            <w:proofErr w:type="spellStart"/>
            <w:r>
              <w:rPr>
                <w:sz w:val="22"/>
                <w:szCs w:val="22"/>
              </w:rPr>
              <w:t>innovac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252" w:type="dxa"/>
            <w:gridSpan w:val="4"/>
            <w:shd w:val="clear" w:color="auto" w:fill="FFFB8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Reformular situación de aprendiz</w:t>
            </w:r>
            <w:r w:rsidR="003D1AD5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j</w:t>
            </w:r>
            <w:r w:rsidR="003D1AD5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(mejoras) / Contraste docente</w:t>
            </w:r>
          </w:p>
        </w:tc>
      </w:tr>
      <w:tr w:rsidR="00FC5E71">
        <w:trPr>
          <w:trHeight w:val="1066"/>
        </w:trPr>
        <w:tc>
          <w:tcPr>
            <w:tcW w:w="428" w:type="dxa"/>
            <w:vMerge/>
            <w:shd w:val="clear" w:color="auto" w:fill="F4CCCC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FC5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61" w:type="dxa"/>
            <w:gridSpan w:val="5"/>
            <w:vMerge w:val="restart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000000">
            <w:pPr>
              <w:widowControl w:val="0"/>
              <w:jc w:val="both"/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t>Lo ideal es que la Situación de Aprendizaje diseñada esté estructurada en una serie de fases, que incluya actividades y tareas con una serie de cometidos encaminados a generar conocimiento y permita alcanzar las Competencias Específicas que hemos marcado.</w:t>
            </w:r>
          </w:p>
          <w:p w:rsidR="00FC5E71" w:rsidRDefault="00FC5E71">
            <w:pPr>
              <w:widowControl w:val="0"/>
              <w:jc w:val="both"/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</w:pPr>
          </w:p>
          <w:p w:rsidR="00FC5E71" w:rsidRDefault="00000000">
            <w:pPr>
              <w:widowControl w:val="0"/>
              <w:jc w:val="both"/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t>Podemos ver una propuesta en el enlace de este apartado.</w:t>
            </w:r>
          </w:p>
          <w:p w:rsidR="00FC5E71" w:rsidRDefault="00FC5E71">
            <w:pPr>
              <w:widowControl w:val="0"/>
              <w:jc w:val="both"/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</w:pPr>
          </w:p>
          <w:p w:rsidR="00FC5E71" w:rsidRDefault="00000000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t xml:space="preserve">Aunque no pertenezca a este apartado debemos introducir situaciones de evaluación centradas tanto en el proceso de aprendizaje como en el de enseñanza (algunos </w:t>
            </w:r>
            <w:proofErr w:type="spellStart"/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t>items</w:t>
            </w:r>
            <w:proofErr w:type="spellEnd"/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t xml:space="preserve"> ya vienen establecidos, sólo es preciso marcarlos). Igualmente establecer los momentos de evaluación y de mejora de nuestra propuesta de SA (Situación de Aprendizaje diseñada)</w:t>
            </w:r>
          </w:p>
        </w:tc>
        <w:tc>
          <w:tcPr>
            <w:tcW w:w="3970" w:type="dxa"/>
            <w:gridSpan w:val="3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000000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t>El modelo por el que optemos deberá tener en cuenta el contexto, las situaciones de innovación, la forma de trabajar y organizar el aula, el trabajo competencial que queramos instaurar, entre otros aspectos.</w:t>
            </w:r>
          </w:p>
        </w:tc>
        <w:tc>
          <w:tcPr>
            <w:tcW w:w="4259" w:type="dxa"/>
            <w:gridSpan w:val="3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000000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t xml:space="preserve">Si en algún caso, durante nuestro diseño de la Situación de </w:t>
            </w:r>
            <w:proofErr w:type="spellStart"/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t>Aprendzj</w:t>
            </w:r>
            <w:proofErr w:type="spellEnd"/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t>. algo ha quedado en el olvido o podemos introducir mejoras es importante registrarlas para tenerlas presente cuando queramos llevarla a cabo nuevamente.</w:t>
            </w:r>
          </w:p>
        </w:tc>
        <w:tc>
          <w:tcPr>
            <w:tcW w:w="1993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000000">
            <w:pPr>
              <w:widowControl w:val="0"/>
              <w:numPr>
                <w:ilvl w:val="0"/>
                <w:numId w:val="3"/>
              </w:numPr>
              <w:ind w:left="283" w:right="17" w:hanging="28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Reflexiona un grupo.</w:t>
            </w:r>
          </w:p>
          <w:p w:rsidR="00FC5E71" w:rsidRDefault="00000000">
            <w:pPr>
              <w:widowControl w:val="0"/>
              <w:numPr>
                <w:ilvl w:val="0"/>
                <w:numId w:val="3"/>
              </w:numPr>
              <w:ind w:left="283" w:right="17" w:hanging="28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Revisa un docente.</w:t>
            </w:r>
          </w:p>
          <w:p w:rsidR="00FC5E71" w:rsidRDefault="00000000">
            <w:pPr>
              <w:widowControl w:val="0"/>
              <w:numPr>
                <w:ilvl w:val="0"/>
                <w:numId w:val="3"/>
              </w:numPr>
              <w:ind w:left="283" w:right="17" w:hanging="28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Se aportan sólo ideas.</w:t>
            </w:r>
          </w:p>
          <w:p w:rsidR="00FC5E71" w:rsidRDefault="00000000">
            <w:pPr>
              <w:widowControl w:val="0"/>
              <w:numPr>
                <w:ilvl w:val="0"/>
                <w:numId w:val="3"/>
              </w:numPr>
              <w:ind w:left="283" w:right="17" w:hanging="28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No se contrasta.</w:t>
            </w:r>
          </w:p>
        </w:tc>
      </w:tr>
      <w:tr w:rsidR="00FC5E71">
        <w:trPr>
          <w:trHeight w:val="285"/>
        </w:trPr>
        <w:tc>
          <w:tcPr>
            <w:tcW w:w="428" w:type="dxa"/>
            <w:vMerge/>
            <w:shd w:val="clear" w:color="auto" w:fill="F4CCCC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FC5E71">
            <w:pPr>
              <w:widowControl w:val="0"/>
              <w:jc w:val="center"/>
            </w:pPr>
          </w:p>
        </w:tc>
        <w:tc>
          <w:tcPr>
            <w:tcW w:w="5861" w:type="dxa"/>
            <w:gridSpan w:val="5"/>
            <w:vMerge/>
            <w:shd w:val="clear" w:color="auto" w:fill="FFE599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FC5E7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295" w:type="dxa"/>
            <w:gridSpan w:val="5"/>
            <w:shd w:val="clear" w:color="auto" w:fill="8FE9FC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proceso de Aprendizaje </w:t>
            </w:r>
            <w:proofErr w:type="gramStart"/>
            <w:r>
              <w:rPr>
                <w:rFonts w:ascii="Cardo" w:eastAsia="Cardo" w:hAnsi="Cardo" w:cs="Cardo"/>
                <w:sz w:val="22"/>
                <w:szCs w:val="22"/>
              </w:rPr>
              <w:t>←  Evaluación</w:t>
            </w:r>
            <w:proofErr w:type="gramEnd"/>
            <w:r>
              <w:rPr>
                <w:rFonts w:ascii="Cardo" w:eastAsia="Cardo" w:hAnsi="Cardo" w:cs="Cardo"/>
                <w:sz w:val="22"/>
                <w:szCs w:val="22"/>
              </w:rPr>
              <w:t xml:space="preserve">  →</w:t>
            </w:r>
            <w:r>
              <w:rPr>
                <w:i/>
                <w:sz w:val="22"/>
                <w:szCs w:val="22"/>
              </w:rPr>
              <w:t xml:space="preserve"> proceso de Enseñanza</w:t>
            </w:r>
          </w:p>
        </w:tc>
        <w:tc>
          <w:tcPr>
            <w:tcW w:w="3927" w:type="dxa"/>
            <w:gridSpan w:val="2"/>
            <w:shd w:val="clear" w:color="auto" w:fill="8FE9FC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Momentos de </w:t>
            </w:r>
            <w:proofErr w:type="spellStart"/>
            <w:r>
              <w:rPr>
                <w:sz w:val="22"/>
                <w:szCs w:val="22"/>
              </w:rPr>
              <w:t>ev</w:t>
            </w:r>
            <w:proofErr w:type="spellEnd"/>
            <w:r>
              <w:rPr>
                <w:sz w:val="22"/>
                <w:szCs w:val="22"/>
              </w:rPr>
              <w:t>. y registros de datos</w:t>
            </w:r>
          </w:p>
        </w:tc>
      </w:tr>
      <w:tr w:rsidR="00FC5E71">
        <w:trPr>
          <w:trHeight w:val="1395"/>
        </w:trPr>
        <w:tc>
          <w:tcPr>
            <w:tcW w:w="428" w:type="dxa"/>
            <w:vMerge/>
            <w:shd w:val="clear" w:color="auto" w:fill="F4CCCC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FC5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861" w:type="dxa"/>
            <w:gridSpan w:val="5"/>
            <w:vMerge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FC5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right="-10" w:hanging="283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Obs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. Directa o prueba (circuito, práctica, oral, 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escrita,...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  <w:p w:rsidR="00FC5E71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Portfolio/reflexiones entre iguales sobre saberes.</w:t>
            </w:r>
          </w:p>
          <w:p w:rsidR="00FC5E71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Creación de productos. Banco de rúbricas.</w:t>
            </w:r>
          </w:p>
          <w:p w:rsidR="00FC5E71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Formulario o cuestionarios,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Breakout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y retos concretos.</w:t>
            </w:r>
          </w:p>
          <w:p w:rsidR="00FC5E71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Resolución de problemas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coop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, trabajos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coop.</w:t>
            </w:r>
            <w:proofErr w:type="spellEnd"/>
          </w:p>
        </w:tc>
        <w:tc>
          <w:tcPr>
            <w:tcW w:w="2325" w:type="dxa"/>
            <w:gridSpan w:val="2"/>
            <w:tcBorders>
              <w:left w:val="single" w:sz="8" w:space="0" w:color="8FE9FC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right="5" w:hanging="28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Lista de cotejo/Escala de V</w:t>
            </w:r>
          </w:p>
          <w:p w:rsidR="00FC5E71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right="5" w:hanging="28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Diana de evaluación.</w:t>
            </w:r>
          </w:p>
          <w:p w:rsidR="00FC5E71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right="5" w:hanging="28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Diario de Aprendizaje.</w:t>
            </w:r>
          </w:p>
          <w:p w:rsidR="00FC5E71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right="5" w:hanging="283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Autoev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Coevaluac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  <w:p w:rsidR="00FC5E71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right="5" w:hanging="28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Rúbrica y reflexión.</w:t>
            </w:r>
          </w:p>
        </w:tc>
        <w:tc>
          <w:tcPr>
            <w:tcW w:w="3927" w:type="dxa"/>
            <w:gridSpan w:val="2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Hoja de registro de tareas y momento temporal establecido durante el proceso. (Hoja de cálculo)</w:t>
            </w:r>
          </w:p>
          <w:p w:rsidR="00FC5E71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hyperlink r:id="rId9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Registro de a</w:t>
              </w:r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n</w:t>
              </w:r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 xml:space="preserve">álisis y reflexiones de la UD, diseño de </w:t>
              </w:r>
            </w:hyperlink>
            <w:hyperlink r:id="rId10">
              <w:r>
                <w:rPr>
                  <w:rFonts w:ascii="Calibri" w:eastAsia="Calibri" w:hAnsi="Calibri" w:cs="Calibri"/>
                  <w:i/>
                  <w:color w:val="1155CC"/>
                  <w:sz w:val="18"/>
                  <w:szCs w:val="18"/>
                  <w:u w:val="single"/>
                </w:rPr>
                <w:t>SA</w:t>
              </w:r>
            </w:hyperlink>
            <w:hyperlink r:id="rId11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 xml:space="preserve"> y tareas a</w:t>
              </w:r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</w:t>
              </w:r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ociadas</w:t>
              </w:r>
            </w:hyperlink>
            <w:r>
              <w:rPr>
                <w:rFonts w:ascii="Calibri" w:eastAsia="Calibri" w:hAnsi="Calibri" w:cs="Calibri"/>
                <w:sz w:val="18"/>
                <w:szCs w:val="18"/>
              </w:rPr>
              <w:t>. (Diario de aprendizaje propio y reflexiones docentes)</w:t>
            </w:r>
          </w:p>
        </w:tc>
      </w:tr>
      <w:tr w:rsidR="00FC5E71">
        <w:trPr>
          <w:trHeight w:val="237"/>
        </w:trPr>
        <w:tc>
          <w:tcPr>
            <w:tcW w:w="428" w:type="dxa"/>
            <w:vMerge w:val="restart"/>
            <w:shd w:val="clear" w:color="auto" w:fill="FBF54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</w:rPr>
              <w:t>E</w:t>
            </w:r>
          </w:p>
          <w:p w:rsidR="00FC5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  <w:p w:rsidR="00FC5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  <w:p w:rsidR="00FC5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:rsidR="00FC5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Q</w:t>
            </w:r>
          </w:p>
          <w:p w:rsidR="00FC5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U</w:t>
            </w:r>
          </w:p>
          <w:p w:rsidR="00FC5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:rsidR="00FC5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lastRenderedPageBreak/>
              <w:t>C</w:t>
            </w:r>
          </w:p>
          <w:p w:rsidR="00FC5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:rsidR="00FC5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>R</w:t>
            </w:r>
          </w:p>
        </w:tc>
        <w:tc>
          <w:tcPr>
            <w:tcW w:w="5861" w:type="dxa"/>
            <w:gridSpan w:val="5"/>
            <w:shd w:val="clear" w:color="auto" w:fill="F8A4E5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Sugerencias </w:t>
            </w:r>
            <w:proofErr w:type="spellStart"/>
            <w:r>
              <w:rPr>
                <w:sz w:val="22"/>
                <w:szCs w:val="22"/>
              </w:rPr>
              <w:t>metodolog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</w:rPr>
              <w:t xml:space="preserve">fechas </w:t>
            </w:r>
            <w:proofErr w:type="spellStart"/>
            <w:r>
              <w:rPr>
                <w:i/>
                <w:sz w:val="22"/>
                <w:szCs w:val="22"/>
              </w:rPr>
              <w:t>pedag</w:t>
            </w:r>
            <w:proofErr w:type="spellEnd"/>
            <w:r>
              <w:rPr>
                <w:i/>
                <w:sz w:val="22"/>
                <w:szCs w:val="22"/>
              </w:rPr>
              <w:t>, seguridad, colaboración...</w:t>
            </w:r>
          </w:p>
        </w:tc>
        <w:tc>
          <w:tcPr>
            <w:tcW w:w="6295" w:type="dxa"/>
            <w:gridSpan w:val="5"/>
            <w:shd w:val="clear" w:color="auto" w:fill="F8A4E5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Inclusión, modelo DUA y atención a la diversidad</w:t>
            </w:r>
          </w:p>
        </w:tc>
        <w:tc>
          <w:tcPr>
            <w:tcW w:w="3927" w:type="dxa"/>
            <w:gridSpan w:val="2"/>
            <w:shd w:val="clear" w:color="auto" w:fill="F8A4E5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Transferencias e interdisciplinariedad CC</w:t>
            </w:r>
          </w:p>
        </w:tc>
      </w:tr>
      <w:tr w:rsidR="00FC5E71">
        <w:trPr>
          <w:trHeight w:val="810"/>
        </w:trPr>
        <w:tc>
          <w:tcPr>
            <w:tcW w:w="428" w:type="dxa"/>
            <w:vMerge/>
            <w:shd w:val="clear" w:color="auto" w:fill="FBF54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FC5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861" w:type="dxa"/>
            <w:gridSpan w:val="5"/>
            <w:vMerge w:val="restart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000000">
            <w:pPr>
              <w:widowControl w:val="0"/>
              <w:jc w:val="both"/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t xml:space="preserve">Son situaciones didácticas o metodológicas que contribuyen a enriquecer la unidad de trabajo y situaciones de aprendizaje, como el uso de fechas pedagógicas, ODS, aspectos de seguridad en las tareas, trabajo colaborativo, salidas extraescolares, visitas, </w:t>
            </w:r>
            <w:proofErr w:type="gramStart"/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t>charlas,...</w:t>
            </w:r>
            <w:proofErr w:type="gramEnd"/>
          </w:p>
          <w:p w:rsidR="00FC5E71" w:rsidRDefault="00000000">
            <w:pPr>
              <w:widowControl w:val="0"/>
              <w:jc w:val="both"/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t xml:space="preserve">Otra sugerencia es investigar sobre dinámicas que hagan nuestras sesiones más participativas, activas y provoquen reflexión previo </w:t>
            </w:r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lastRenderedPageBreak/>
              <w:t xml:space="preserve">análisis. Pongamos un ejemplo, el uso de una mecánica de un juego para provocar un ambiente de trabajo dinámico en clase donde queremos introducir la lectura rotatoria de los Diarios de </w:t>
            </w:r>
            <w:proofErr w:type="spellStart"/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t>Aprendzj</w:t>
            </w:r>
            <w:proofErr w:type="spellEnd"/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t>. entre el alumnado de nuestro grupo-clase al finalizar una fase.</w:t>
            </w:r>
          </w:p>
        </w:tc>
        <w:tc>
          <w:tcPr>
            <w:tcW w:w="6295" w:type="dxa"/>
            <w:gridSpan w:val="5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000000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lastRenderedPageBreak/>
              <w:t>Independientemente de que en nuestras aulas tengamos presencia o no de alumnado con necesidades educativas, el diseño de las actividades y SA deberán fijar un modelo DUA (Diseño Universal Aprendizaje) real y práctico.</w:t>
            </w:r>
          </w:p>
        </w:tc>
        <w:tc>
          <w:tcPr>
            <w:tcW w:w="3927" w:type="dxa"/>
            <w:gridSpan w:val="2"/>
            <w:vMerge w:val="restart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000000">
            <w:pPr>
              <w:widowControl w:val="0"/>
              <w:jc w:val="both"/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t>Las propias Competencias Específicas deben tener un campo de conexiones que permitan incluso agrupar áreas por ámbitos de aprendizaje.</w:t>
            </w:r>
          </w:p>
        </w:tc>
      </w:tr>
      <w:tr w:rsidR="00FC5E71">
        <w:trPr>
          <w:trHeight w:val="297"/>
        </w:trPr>
        <w:tc>
          <w:tcPr>
            <w:tcW w:w="428" w:type="dxa"/>
            <w:vMerge/>
            <w:shd w:val="clear" w:color="auto" w:fill="FBF54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FC5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861" w:type="dxa"/>
            <w:gridSpan w:val="5"/>
            <w:vMerge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FC5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6295" w:type="dxa"/>
            <w:gridSpan w:val="5"/>
            <w:shd w:val="clear" w:color="auto" w:fill="F9CB9C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Reflexión sobre espacios, materiales y agrupamientos</w:t>
            </w:r>
          </w:p>
        </w:tc>
        <w:tc>
          <w:tcPr>
            <w:tcW w:w="3927" w:type="dxa"/>
            <w:gridSpan w:val="2"/>
            <w:vMerge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FC5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C5E71">
        <w:trPr>
          <w:trHeight w:val="300"/>
        </w:trPr>
        <w:tc>
          <w:tcPr>
            <w:tcW w:w="428" w:type="dxa"/>
            <w:vMerge/>
            <w:shd w:val="clear" w:color="auto" w:fill="FBF54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FC5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861" w:type="dxa"/>
            <w:gridSpan w:val="5"/>
            <w:vMerge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FC5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6295" w:type="dxa"/>
            <w:gridSpan w:val="5"/>
            <w:vMerge w:val="restart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000000">
            <w:pPr>
              <w:widowControl w:val="0"/>
              <w:jc w:val="both"/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t xml:space="preserve">Es muy importante que reflexionemos sobre la organización grupal, los roles </w:t>
            </w:r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lastRenderedPageBreak/>
              <w:t>dentro de los distintos agrupamientos, los espacios de investigación, los tiempos de trabajo, así como los materiales a trabajar (físicos e interactivos).</w:t>
            </w:r>
          </w:p>
          <w:p w:rsidR="00FC5E71" w:rsidRDefault="00FC5E71">
            <w:pPr>
              <w:widowControl w:val="0"/>
              <w:jc w:val="both"/>
              <w:rPr>
                <w:rFonts w:ascii="Calibri" w:eastAsia="Calibri" w:hAnsi="Calibri" w:cs="Calibri"/>
                <w:i/>
                <w:color w:val="0B5394"/>
                <w:sz w:val="14"/>
                <w:szCs w:val="14"/>
              </w:rPr>
            </w:pPr>
          </w:p>
          <w:p w:rsidR="00FC5E71" w:rsidRDefault="00000000">
            <w:pPr>
              <w:widowControl w:val="0"/>
              <w:jc w:val="both"/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t>Las dinámicas de trabajo, la motivación, el grado de implicación hacia el trabajo es preciso trabajarlas y fomentarlas con acciones significativas.</w:t>
            </w:r>
          </w:p>
        </w:tc>
        <w:tc>
          <w:tcPr>
            <w:tcW w:w="3927" w:type="dxa"/>
            <w:gridSpan w:val="2"/>
            <w:shd w:val="clear" w:color="auto" w:fill="EA9999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Aporte de la </w:t>
            </w:r>
            <w:r>
              <w:rPr>
                <w:i/>
                <w:sz w:val="22"/>
                <w:szCs w:val="22"/>
              </w:rPr>
              <w:t>SA</w:t>
            </w:r>
            <w:r>
              <w:rPr>
                <w:sz w:val="22"/>
                <w:szCs w:val="22"/>
              </w:rPr>
              <w:t xml:space="preserve"> a proyectos del Centro</w:t>
            </w:r>
          </w:p>
        </w:tc>
      </w:tr>
      <w:tr w:rsidR="00FC5E71">
        <w:trPr>
          <w:trHeight w:val="1048"/>
        </w:trPr>
        <w:tc>
          <w:tcPr>
            <w:tcW w:w="428" w:type="dxa"/>
            <w:vMerge/>
            <w:shd w:val="clear" w:color="auto" w:fill="FBF54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FC5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861" w:type="dxa"/>
            <w:gridSpan w:val="5"/>
            <w:vMerge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FC5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295" w:type="dxa"/>
            <w:gridSpan w:val="5"/>
            <w:vMerge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FC5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27" w:type="dxa"/>
            <w:gridSpan w:val="2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5E71" w:rsidRDefault="00000000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t xml:space="preserve">Las aportaciones que ofrece la SA a otros proyectos en los que está inmerso el Centro Educativo y que potencia el mismo, por </w:t>
            </w:r>
            <w:proofErr w:type="spellStart"/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t>ej</w:t>
            </w:r>
            <w:proofErr w:type="spellEnd"/>
            <w:r>
              <w:rPr>
                <w:rFonts w:ascii="Calibri" w:eastAsia="Calibri" w:hAnsi="Calibri" w:cs="Calibri"/>
                <w:i/>
                <w:color w:val="0B5394"/>
                <w:sz w:val="20"/>
                <w:szCs w:val="20"/>
              </w:rPr>
              <w:t>: Innovación, Salud, Ecología, Consumo, Respeto.</w:t>
            </w:r>
          </w:p>
        </w:tc>
      </w:tr>
    </w:tbl>
    <w:p w:rsidR="00FC5E71" w:rsidRDefault="00FC5E71">
      <w:pPr>
        <w:rPr>
          <w:sz w:val="2"/>
          <w:szCs w:val="2"/>
        </w:rPr>
      </w:pPr>
    </w:p>
    <w:p w:rsidR="003D1AD5" w:rsidRDefault="003D1AD5">
      <w:pPr>
        <w:rPr>
          <w:sz w:val="2"/>
          <w:szCs w:val="2"/>
        </w:rPr>
      </w:pPr>
    </w:p>
    <w:p w:rsidR="003D1AD5" w:rsidRDefault="003D1AD5">
      <w:pPr>
        <w:rPr>
          <w:sz w:val="2"/>
          <w:szCs w:val="2"/>
        </w:rPr>
      </w:pPr>
    </w:p>
    <w:sectPr w:rsidR="003D1AD5">
      <w:headerReference w:type="default" r:id="rId12"/>
      <w:footerReference w:type="default" r:id="rId13"/>
      <w:pgSz w:w="16838" w:h="11906" w:orient="landscape"/>
      <w:pgMar w:top="340" w:right="340" w:bottom="396" w:left="566" w:header="113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65A7" w:rsidRDefault="002D65A7">
      <w:r>
        <w:separator/>
      </w:r>
    </w:p>
  </w:endnote>
  <w:endnote w:type="continuationSeparator" w:id="0">
    <w:p w:rsidR="002D65A7" w:rsidRDefault="002D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rdo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5E7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i/>
        <w:color w:val="000000"/>
        <w:sz w:val="6"/>
        <w:szCs w:val="6"/>
      </w:rPr>
    </w:pPr>
    <w:r>
      <w:rPr>
        <w:rFonts w:ascii="Arial" w:eastAsia="Arial" w:hAnsi="Arial" w:cs="Arial"/>
        <w:i/>
        <w:color w:val="536471"/>
        <w:sz w:val="16"/>
        <w:szCs w:val="16"/>
      </w:rPr>
      <w:t>Diseño de: José Antonio Gil Tejada “</w:t>
    </w:r>
    <w:proofErr w:type="spellStart"/>
    <w:r>
      <w:rPr>
        <w:rFonts w:ascii="Arial" w:eastAsia="Arial" w:hAnsi="Arial" w:cs="Arial"/>
        <w:i/>
        <w:color w:val="536471"/>
        <w:sz w:val="16"/>
        <w:szCs w:val="16"/>
      </w:rPr>
      <w:t>Josan</w:t>
    </w:r>
    <w:proofErr w:type="spellEnd"/>
    <w:r>
      <w:rPr>
        <w:rFonts w:ascii="Arial" w:eastAsia="Arial" w:hAnsi="Arial" w:cs="Arial"/>
        <w:i/>
        <w:color w:val="536471"/>
        <w:sz w:val="16"/>
        <w:szCs w:val="16"/>
      </w:rPr>
      <w:t xml:space="preserve">” a partir de apuntes de Rafael Barrero Cuadrado; @filomenadf y Pedro J. Rosa e información vía internet de Rodrigo Ferrer García y </w:t>
    </w:r>
    <w:r>
      <w:rPr>
        <w:rFonts w:ascii="Roboto" w:eastAsia="Roboto" w:hAnsi="Roboto" w:cs="Roboto"/>
        <w:i/>
        <w:color w:val="536471"/>
        <w:sz w:val="16"/>
        <w:szCs w:val="16"/>
        <w:highlight w:val="white"/>
      </w:rPr>
      <w:t>@pablofcayqca</w:t>
    </w:r>
    <w:r>
      <w:rPr>
        <w:rFonts w:ascii="Arial" w:eastAsia="Arial" w:hAnsi="Arial" w:cs="Arial"/>
        <w:i/>
        <w:color w:val="536471"/>
        <w:sz w:val="16"/>
        <w:szCs w:val="16"/>
      </w:rPr>
      <w:t xml:space="preserve">.  </w:t>
    </w:r>
    <w:r>
      <w:rPr>
        <w:rFonts w:ascii="Arial" w:eastAsia="Arial" w:hAnsi="Arial" w:cs="Arial"/>
        <w:i/>
        <w:color w:val="536471"/>
        <w:sz w:val="28"/>
        <w:szCs w:val="28"/>
      </w:rPr>
      <w:t xml:space="preserve">  </w:t>
    </w:r>
    <w:r>
      <w:rPr>
        <w:rFonts w:ascii="Arial" w:eastAsia="Arial" w:hAnsi="Arial" w:cs="Arial"/>
        <w:i/>
        <w:color w:val="536471"/>
        <w:sz w:val="42"/>
        <w:szCs w:val="42"/>
      </w:rPr>
      <w:t xml:space="preserve">  </w:t>
    </w:r>
    <w:r>
      <w:rPr>
        <w:rFonts w:ascii="Arial" w:eastAsia="Arial" w:hAnsi="Arial" w:cs="Arial"/>
        <w:i/>
        <w:color w:val="536471"/>
        <w:sz w:val="18"/>
        <w:szCs w:val="18"/>
      </w:rPr>
      <w:t xml:space="preserve">  </w:t>
    </w:r>
    <w:r>
      <w:rPr>
        <w:rFonts w:ascii="Arial" w:eastAsia="Arial" w:hAnsi="Arial" w:cs="Arial"/>
        <w:i/>
        <w:color w:val="536471"/>
        <w:sz w:val="42"/>
        <w:szCs w:val="42"/>
      </w:rPr>
      <w:t xml:space="preserve"> </w:t>
    </w:r>
    <w:r>
      <w:rPr>
        <w:rFonts w:ascii="Arial" w:eastAsia="Arial" w:hAnsi="Arial" w:cs="Arial"/>
        <w:i/>
        <w:color w:val="000000"/>
        <w:sz w:val="42"/>
        <w:szCs w:val="42"/>
      </w:rPr>
      <w:t xml:space="preserve">    </w:t>
    </w:r>
    <w:r>
      <w:rPr>
        <w:rFonts w:ascii="Arial" w:eastAsia="Arial" w:hAnsi="Arial" w:cs="Arial"/>
        <w:i/>
        <w:color w:val="000000"/>
        <w:sz w:val="28"/>
        <w:szCs w:val="28"/>
      </w:rPr>
      <w:t xml:space="preserve">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8920163</wp:posOffset>
          </wp:positionH>
          <wp:positionV relativeFrom="paragraph">
            <wp:posOffset>114300</wp:posOffset>
          </wp:positionV>
          <wp:extent cx="684878" cy="280177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4878" cy="2801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65A7" w:rsidRDefault="002D65A7">
      <w:r>
        <w:separator/>
      </w:r>
    </w:p>
  </w:footnote>
  <w:footnote w:type="continuationSeparator" w:id="0">
    <w:p w:rsidR="002D65A7" w:rsidRDefault="002D6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5E71" w:rsidRDefault="00000000">
    <w:pPr>
      <w:rPr>
        <w:i/>
        <w:color w:val="666666"/>
        <w:sz w:val="16"/>
        <w:szCs w:val="16"/>
      </w:rPr>
    </w:pPr>
    <w:r>
      <w:rPr>
        <w:i/>
        <w:color w:val="666666"/>
        <w:sz w:val="16"/>
        <w:szCs w:val="16"/>
      </w:rPr>
      <w:t>Propuesta de diseño de S.A de Programación bajo la perspectiva LOMLOE para Primaria con adaptación a Secundaria.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6FF9"/>
    <w:multiLevelType w:val="multilevel"/>
    <w:tmpl w:val="DEDE9E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C3D0B31"/>
    <w:multiLevelType w:val="multilevel"/>
    <w:tmpl w:val="016CF5A4"/>
    <w:lvl w:ilvl="0">
      <w:start w:val="1"/>
      <w:numFmt w:val="bullet"/>
      <w:lvlText w:val="●"/>
      <w:lvlJc w:val="left"/>
      <w:pPr>
        <w:ind w:left="0" w:firstLine="130"/>
      </w:pPr>
      <w:rPr>
        <w:u w:val="none"/>
      </w:rPr>
    </w:lvl>
    <w:lvl w:ilvl="1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5760" w:hanging="360"/>
      </w:pPr>
      <w:rPr>
        <w:u w:val="none"/>
      </w:rPr>
    </w:lvl>
  </w:abstractNum>
  <w:abstractNum w:abstractNumId="2" w15:restartNumberingAfterBreak="0">
    <w:nsid w:val="70106476"/>
    <w:multiLevelType w:val="multilevel"/>
    <w:tmpl w:val="B74A17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471357997">
    <w:abstractNumId w:val="0"/>
  </w:num>
  <w:num w:numId="2" w16cid:durableId="1862012931">
    <w:abstractNumId w:val="2"/>
  </w:num>
  <w:num w:numId="3" w16cid:durableId="220097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E71"/>
    <w:rsid w:val="002D65A7"/>
    <w:rsid w:val="003D1AD5"/>
    <w:rsid w:val="00FC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2090B7"/>
  <w15:docId w15:val="{F238D3EE-95BF-404E-80C9-CCC2F577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zK2GCGLULi9RiMm8pevT5Z2LRMw76kvh/view?usp=sharin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JhCT0E4MyA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W1I0xotqXkxYMUemeI6YCmYhhq1f8J2AeXkOPFesVjc/edit?usp=sharin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document/d/1W1I0xotqXkxYMUemeI6YCmYhhq1f8J2AeXkOPFesVjc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W1I0xotqXkxYMUemeI6YCmYhhq1f8J2AeXkOPFesVjc/edit?usp=sharin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994</Words>
  <Characters>5473</Characters>
  <Application>Microsoft Office Word</Application>
  <DocSecurity>0</DocSecurity>
  <Lines>45</Lines>
  <Paragraphs>12</Paragraphs>
  <ScaleCrop>false</ScaleCrop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2024-01-27T10:34:00Z</dcterms:created>
  <dcterms:modified xsi:type="dcterms:W3CDTF">2024-01-27T10:34:00Z</dcterms:modified>
</cp:coreProperties>
</file>