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ESQUEMA SITUACIÓN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19"/>
        <w:gridCol w:w="1807"/>
        <w:gridCol w:w="2123"/>
        <w:gridCol w:w="1346"/>
        <w:gridCol w:w="740"/>
        <w:gridCol w:w="1135"/>
        <w:gridCol w:w="1780"/>
        <w:tblGridChange w:id="0">
          <w:tblGrid>
            <w:gridCol w:w="1519"/>
            <w:gridCol w:w="1807"/>
            <w:gridCol w:w="2123"/>
            <w:gridCol w:w="1346"/>
            <w:gridCol w:w="740"/>
            <w:gridCol w:w="1135"/>
            <w:gridCol w:w="178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8eaadb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IDENTIFICACIÓN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TÍTULO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TEMPORALIZACIÓN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8eaadb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8eaadb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DEL PRODUCTO FINAL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8eaadb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CONCRECIÓN CURRICULAR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COMPETENCIAS ESPECÍFICAS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MATERIA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CRITERIOS DE EVALUACIÓN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SABERES BÁSICOS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ORIENTACIONES PARA LA COMPETENCIA ESPECÍFICA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CONEXIÓN CON EL PERFIL COMPETENCIAL AL FINALIZAR SEGUNDO CURSO / PERFIL DE SALIDA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8eaadb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SECUENCIACIÓN DIDÁCTICA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ACTIVIDADES (TIPOS Y CONTEXTOS)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EJERCICIOS (RECURSOS Y PROCESOS COGNITIVOS)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8eaadb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MEDIDAS DE ATENCIÓN EDUCATIVA ORDINARIA A NIVEL DE AULA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Medidas generales. Medidas específicas. Adaptaciones DUA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PRINCIPIOS DUA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PAUTAS DUA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8eaadb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VALORACIÓN DE LO APRENDIDO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PROCEDIMIENTOS DE EVALUACIÓN DEL APRENDIZAJE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CRITERIOS DE EVALUACIÓN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INSTRUMENTOS DE OBSERVACIÓN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RÚBRICAS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INSUFICIENTE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BIEN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NOTABLE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SOBRESALIENTE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EVALUACIÓN VALORACIÓN MEDIDAS DUA PARA LA DIVERSIDAD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NIVEL DESEMPEÑO COMPETENCIAL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PROCEDIMIENTOS DE EVALUACIÓN DE LA PRÁCTICA DOCENTE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Indicador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Instrumento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jc w:val="right"/>
      <w:rPr>
        <w:sz w:val="10"/>
        <w:szCs w:val="10"/>
      </w:rPr>
    </w:pPr>
    <w:r w:rsidDel="00000000" w:rsidR="00000000" w:rsidRPr="00000000">
      <w:rPr>
        <w:sz w:val="10"/>
        <w:szCs w:val="10"/>
        <w:rtl w:val="0"/>
      </w:rPr>
      <w:t xml:space="preserve">FUENTE: Anexo VII de la Instrucción conjunta 1/20022, de 23 de junio.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stiloseccin" w:customStyle="1">
    <w:name w:val="Estilo sección"/>
    <w:basedOn w:val="Normal"/>
    <w:qFormat w:val="1"/>
    <w:rsid w:val="002D5FE8"/>
    <w:pPr>
      <w:pBdr>
        <w:top w:color="auto" w:shadow="1" w:space="1" w:sz="4" w:val="single"/>
        <w:left w:color="auto" w:shadow="1" w:space="4" w:sz="4" w:val="single"/>
        <w:bottom w:color="auto" w:shadow="1" w:space="1" w:sz="4" w:val="single"/>
        <w:right w:color="auto" w:shadow="1" w:space="4" w:sz="4" w:val="single"/>
      </w:pBdr>
      <w:shd w:color="auto" w:fill="d9d9d9" w:themeFill="background1" w:themeFillShade="0000D9" w:val="clear"/>
      <w:tabs>
        <w:tab w:val="left" w:pos="1665"/>
        <w:tab w:val="center" w:pos="4626"/>
      </w:tabs>
      <w:spacing w:after="120"/>
      <w:ind w:right="-40"/>
    </w:pPr>
    <w:rPr>
      <w:rFonts w:ascii="Arial" w:cs="Arial" w:eastAsia="Calibri" w:hAnsi="Arial"/>
      <w:b w:val="1"/>
      <w:snapToGrid w:val="0"/>
      <w:color w:val="000000"/>
      <w:sz w:val="32"/>
      <w:szCs w:val="52"/>
    </w:rPr>
  </w:style>
  <w:style w:type="table" w:styleId="Tablaconcuadrcula">
    <w:name w:val="Table Grid"/>
    <w:basedOn w:val="Tablanormal"/>
    <w:uiPriority w:val="39"/>
    <w:rsid w:val="003169C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3169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5GIBeFbOUlczWlco9ATiwA4Tyg==">AMUW2mVsOCnc41ukfX2UAX+NajSZ0RB5PkS9hT82L1INHpH+ogBDq2PHpg8rfltLkV/gAn/a0V+WjTAr3j7yIRtIjhvSzTk3vLX0gaxQZh3ciflWXnSU11w=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2022-07-11T10:42:00Z</dcterms:created>
  <dc:creator>Juan Manuel López Esparrel</dc:creator>
</cp:coreProperties>
</file>